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6044A3" w14:textId="77777777" w:rsidR="00C26BC3" w:rsidRPr="00C26BC3" w:rsidRDefault="00C26BC3" w:rsidP="00C26BC3">
      <w:pPr>
        <w:pStyle w:val="Heading1"/>
        <w:spacing w:before="75" w:beforeAutospacing="0" w:after="150" w:afterAutospacing="0"/>
        <w:textAlignment w:val="baseline"/>
        <w:rPr>
          <w:rStyle w:val="entrycategory"/>
          <w:rFonts w:ascii="Arial" w:eastAsia="Times New Roman" w:hAnsi="Arial" w:cs="Arial"/>
          <w:b w:val="0"/>
          <w:bCs w:val="0"/>
          <w:color w:val="00A9EE"/>
        </w:rPr>
      </w:pPr>
      <w:r>
        <w:rPr>
          <w:rFonts w:ascii="Arial" w:eastAsia="Times New Roman" w:hAnsi="Arial" w:cs="Arial"/>
          <w:b w:val="0"/>
          <w:bCs w:val="0"/>
          <w:color w:val="00A9EE"/>
        </w:rPr>
        <w:t>NEW BALANCE ROPPONGI, TOKYO- LIFESTYLE STORE OF THE FUTURE</w:t>
      </w:r>
    </w:p>
    <w:p w14:paraId="37362E02" w14:textId="77777777" w:rsidR="00C26BC3" w:rsidRDefault="00C26BC3" w:rsidP="00C26BC3">
      <w:pPr>
        <w:rPr>
          <w:rFonts w:ascii="Century Gothic" w:hAnsi="Century Gothic"/>
          <w:sz w:val="20"/>
          <w:szCs w:val="22"/>
        </w:rPr>
      </w:pPr>
      <w:r>
        <w:rPr>
          <w:rFonts w:ascii="Century Gothic" w:hAnsi="Century Gothic"/>
          <w:b/>
          <w:bCs/>
          <w:sz w:val="20"/>
          <w:szCs w:val="22"/>
        </w:rPr>
        <w:t>Project Overview</w:t>
      </w:r>
    </w:p>
    <w:p w14:paraId="348FC1E4" w14:textId="77777777" w:rsidR="00C26BC3" w:rsidRDefault="00C26BC3" w:rsidP="00C26BC3">
      <w:pPr>
        <w:rPr>
          <w:rFonts w:ascii="Century Gothic" w:hAnsi="Century Gothic"/>
          <w:sz w:val="20"/>
          <w:szCs w:val="22"/>
        </w:rPr>
      </w:pPr>
      <w:r>
        <w:rPr>
          <w:rFonts w:ascii="Century Gothic" w:hAnsi="Century Gothic"/>
          <w:sz w:val="20"/>
          <w:szCs w:val="22"/>
        </w:rPr>
        <w:t xml:space="preserve">Global retail design and build agency greater group was instrumental in establishing New Balance’s first Lifestyle concept store in Japan. greater group’s Asia design team boldly translated their creativity and expertise to bring New Balance’s hybrid vision to life. A dramatic departure from the familiar, this Lifestyle concept store is designed to cleverly transform on demand, and appeal to the performance-driven metropolitan consumers of Tokyo. The store, located in the </w:t>
      </w:r>
      <w:proofErr w:type="spellStart"/>
      <w:r>
        <w:rPr>
          <w:rFonts w:ascii="Century Gothic" w:hAnsi="Century Gothic"/>
          <w:sz w:val="20"/>
          <w:szCs w:val="22"/>
        </w:rPr>
        <w:t>Roppongi</w:t>
      </w:r>
      <w:proofErr w:type="spellEnd"/>
      <w:r>
        <w:rPr>
          <w:rFonts w:ascii="Century Gothic" w:hAnsi="Century Gothic"/>
          <w:sz w:val="20"/>
          <w:szCs w:val="22"/>
        </w:rPr>
        <w:t xml:space="preserve"> district of midtown Tokyo, opened its doors to the public on May 19, 2017.</w:t>
      </w:r>
      <w:r>
        <w:rPr>
          <w:rFonts w:ascii="Century Gothic" w:hAnsi="Century Gothic"/>
          <w:sz w:val="20"/>
          <w:szCs w:val="22"/>
        </w:rPr>
        <w:br/>
      </w:r>
      <w:r>
        <w:rPr>
          <w:rFonts w:ascii="Century Gothic" w:hAnsi="Century Gothic"/>
          <w:sz w:val="20"/>
          <w:szCs w:val="22"/>
        </w:rPr>
        <w:br/>
        <w:t>GREATER GROUP INTRODUCTION</w:t>
      </w:r>
      <w:r>
        <w:rPr>
          <w:rFonts w:ascii="Century Gothic" w:hAnsi="Century Gothic"/>
          <w:sz w:val="20"/>
          <w:szCs w:val="22"/>
        </w:rPr>
        <w:br/>
        <w:t>greater group is a multi-disciplinary global retail design and build agency.  For over 30 years, we have been creating intelligent retail environments for the world’s leading brands. Today, greater group has 12 established offices worldwide and is present in over 23 countries. </w:t>
      </w:r>
      <w:r>
        <w:rPr>
          <w:rFonts w:ascii="Century Gothic" w:hAnsi="Century Gothic"/>
          <w:sz w:val="20"/>
          <w:szCs w:val="22"/>
        </w:rPr>
        <w:br/>
        <w:t> </w:t>
      </w:r>
      <w:r>
        <w:rPr>
          <w:rFonts w:ascii="Century Gothic" w:hAnsi="Century Gothic"/>
          <w:sz w:val="20"/>
          <w:szCs w:val="22"/>
        </w:rPr>
        <w:br/>
        <w:t>Drawing off our extensive expertise, our teams work strategically with Clients to understand and respond to every unique business needs and objectives. Together we strive to ensure our end to end solutions deliver the absolute desired results for the brand; executing high impact, high return store design, fit-out and manufacturing solutions, as well as bringing an enhanced customer experience.</w:t>
      </w:r>
      <w:r>
        <w:rPr>
          <w:rFonts w:ascii="Century Gothic" w:hAnsi="Century Gothic"/>
          <w:sz w:val="20"/>
          <w:szCs w:val="22"/>
        </w:rPr>
        <w:br/>
        <w:t> </w:t>
      </w:r>
      <w:r>
        <w:rPr>
          <w:rFonts w:ascii="Century Gothic" w:hAnsi="Century Gothic"/>
          <w:sz w:val="20"/>
          <w:szCs w:val="22"/>
        </w:rPr>
        <w:br/>
        <w:t>greater group aims to increase our Client's average sales, reduce walk outs, increase frequency of visits and attract new customers – all the keys to growth in the competitive world of retail.</w:t>
      </w:r>
      <w:r>
        <w:rPr>
          <w:rFonts w:ascii="Century Gothic" w:hAnsi="Century Gothic"/>
          <w:sz w:val="20"/>
          <w:szCs w:val="22"/>
        </w:rPr>
        <w:br/>
        <w:t>Our global Clients include Samsung, Pandora, Sheridan, JB Hi-Fi, New Balance, Nissan, 2XU, Optus, Vodafone, Lincoln, Prada, 3 Mobile, Google. </w:t>
      </w:r>
    </w:p>
    <w:p w14:paraId="0A0E2664" w14:textId="77777777" w:rsidR="00C26BC3" w:rsidRDefault="00C26BC3" w:rsidP="00C26BC3">
      <w:pPr>
        <w:rPr>
          <w:rFonts w:ascii="Century Gothic" w:hAnsi="Century Gothic"/>
          <w:b/>
          <w:bCs/>
          <w:sz w:val="20"/>
          <w:szCs w:val="22"/>
        </w:rPr>
      </w:pPr>
    </w:p>
    <w:p w14:paraId="5BE386A5" w14:textId="77777777" w:rsidR="00C26BC3" w:rsidRDefault="00C26BC3" w:rsidP="00C26BC3">
      <w:pPr>
        <w:rPr>
          <w:rFonts w:ascii="Century Gothic" w:hAnsi="Century Gothic"/>
          <w:b/>
          <w:bCs/>
          <w:sz w:val="20"/>
          <w:szCs w:val="22"/>
        </w:rPr>
      </w:pPr>
    </w:p>
    <w:p w14:paraId="42B14A3F" w14:textId="77777777" w:rsidR="00C26BC3" w:rsidRDefault="00C26BC3" w:rsidP="00C26BC3">
      <w:pPr>
        <w:rPr>
          <w:rFonts w:ascii="Century Gothic" w:hAnsi="Century Gothic"/>
          <w:sz w:val="20"/>
          <w:szCs w:val="22"/>
        </w:rPr>
      </w:pPr>
      <w:r>
        <w:rPr>
          <w:rFonts w:ascii="Century Gothic" w:hAnsi="Century Gothic"/>
          <w:b/>
          <w:bCs/>
          <w:sz w:val="20"/>
          <w:szCs w:val="22"/>
        </w:rPr>
        <w:t>Project Brief</w:t>
      </w:r>
    </w:p>
    <w:p w14:paraId="267A38B7" w14:textId="77777777" w:rsidR="00C26BC3" w:rsidRDefault="00C26BC3" w:rsidP="00C26BC3">
      <w:pPr>
        <w:rPr>
          <w:rFonts w:ascii="Century Gothic" w:hAnsi="Century Gothic"/>
          <w:sz w:val="20"/>
          <w:szCs w:val="22"/>
        </w:rPr>
      </w:pPr>
      <w:r>
        <w:rPr>
          <w:rFonts w:ascii="Century Gothic" w:hAnsi="Century Gothic"/>
          <w:sz w:val="20"/>
          <w:szCs w:val="22"/>
        </w:rPr>
        <w:t>greater group was instrumental in establishing New Balance’s first Lifestyle concept store in Japan. A dramatic departure from the familiar, this Lifestyle concept store is designed to cleverly transform on demand, and appeal to the performance-driven metropolitan consumers of Tokyo.</w:t>
      </w:r>
      <w:r>
        <w:rPr>
          <w:rFonts w:ascii="Century Gothic" w:hAnsi="Century Gothic"/>
          <w:sz w:val="20"/>
          <w:szCs w:val="22"/>
        </w:rPr>
        <w:br/>
      </w:r>
      <w:r>
        <w:rPr>
          <w:rFonts w:ascii="Century Gothic" w:hAnsi="Century Gothic"/>
          <w:sz w:val="20"/>
          <w:szCs w:val="22"/>
        </w:rPr>
        <w:br/>
        <w:t xml:space="preserve">greater group’s Asia design team boldly translated their creativity and expertise to bring New Balance’s hybrid vision to life. The store, named “New Balance </w:t>
      </w:r>
      <w:proofErr w:type="spellStart"/>
      <w:r>
        <w:rPr>
          <w:rFonts w:ascii="Century Gothic" w:hAnsi="Century Gothic"/>
          <w:sz w:val="20"/>
          <w:szCs w:val="22"/>
        </w:rPr>
        <w:t>Roppongi</w:t>
      </w:r>
      <w:proofErr w:type="spellEnd"/>
      <w:r>
        <w:rPr>
          <w:rFonts w:ascii="Century Gothic" w:hAnsi="Century Gothic"/>
          <w:sz w:val="20"/>
          <w:szCs w:val="22"/>
        </w:rPr>
        <w:t xml:space="preserve"> 19:06”, features a simple and linear, yet contemporary design, revolving around the Japanese concept of “MA” – the consciousness of the void between two structural parts. With strategic design considerations, the surrounding lights create a division between the ceiling and walls, constructing a visual expression of MA and a sense of floatation. The strong contrast of wooden walls against the sharp concrete flooring represents raw performance. Innovation is also drawn by the mobility of the wooden podiums, which enable smooth transformation from a daily retail store to an event or product launch space, by simply inserting the floor fixtures (product display blocks) into the walls. Once again lighting, in alliance with the large screen, empowers a new product to be the focus during product launch events. The store will offer state-of-the-art apparel and footwear, with a range of limited-edition items.</w:t>
      </w:r>
      <w:r>
        <w:rPr>
          <w:rFonts w:ascii="Century Gothic" w:hAnsi="Century Gothic"/>
          <w:sz w:val="20"/>
          <w:szCs w:val="22"/>
        </w:rPr>
        <w:br/>
      </w:r>
      <w:r>
        <w:rPr>
          <w:rFonts w:ascii="Century Gothic" w:hAnsi="Century Gothic"/>
          <w:sz w:val="20"/>
          <w:szCs w:val="22"/>
        </w:rPr>
        <w:br/>
        <w:t>greater group has collaboratively worked with New Balance in delivering 75 global store projects to date. Each project has brought great retail innovation, balanced with a dedicated approach in understanding the Client’s consumers, to heighten every retail experience. </w:t>
      </w:r>
      <w:bookmarkStart w:id="0" w:name="_GoBack"/>
      <w:bookmarkEnd w:id="0"/>
    </w:p>
    <w:p w14:paraId="39DE988D" w14:textId="77777777" w:rsidR="00C26BC3" w:rsidRDefault="00C26BC3" w:rsidP="00C26BC3">
      <w:pPr>
        <w:rPr>
          <w:rFonts w:ascii="Century Gothic" w:hAnsi="Century Gothic"/>
          <w:sz w:val="20"/>
          <w:szCs w:val="22"/>
        </w:rPr>
      </w:pPr>
      <w:r>
        <w:rPr>
          <w:rFonts w:ascii="Century Gothic" w:hAnsi="Century Gothic"/>
          <w:b/>
          <w:bCs/>
          <w:sz w:val="20"/>
          <w:szCs w:val="22"/>
        </w:rPr>
        <w:lastRenderedPageBreak/>
        <w:t>Project Innovation/Need</w:t>
      </w:r>
    </w:p>
    <w:p w14:paraId="2B8F2B6C" w14:textId="77777777" w:rsidR="00C26BC3" w:rsidRDefault="00C26BC3" w:rsidP="00C26BC3">
      <w:pPr>
        <w:rPr>
          <w:rFonts w:ascii="Century Gothic" w:hAnsi="Century Gothic"/>
          <w:sz w:val="20"/>
          <w:szCs w:val="22"/>
          <w:lang w:val="en-GB"/>
        </w:rPr>
      </w:pPr>
      <w:r>
        <w:rPr>
          <w:rFonts w:ascii="Century Gothic" w:hAnsi="Century Gothic"/>
          <w:sz w:val="20"/>
          <w:szCs w:val="22"/>
        </w:rPr>
        <w:t xml:space="preserve">- The project is culturally focused around the Japanese concept of "MA", and with its contemporary and innovative design, it is set to appeal to </w:t>
      </w:r>
      <w:proofErr w:type="spellStart"/>
      <w:r>
        <w:rPr>
          <w:rFonts w:ascii="Century Gothic" w:hAnsi="Century Gothic"/>
          <w:sz w:val="20"/>
          <w:szCs w:val="22"/>
        </w:rPr>
        <w:t>Roppongi's</w:t>
      </w:r>
      <w:proofErr w:type="spellEnd"/>
      <w:r>
        <w:rPr>
          <w:rFonts w:ascii="Century Gothic" w:hAnsi="Century Gothic"/>
          <w:sz w:val="20"/>
          <w:szCs w:val="22"/>
        </w:rPr>
        <w:t xml:space="preserve"> trendy metropolitan consumers; something </w:t>
      </w:r>
      <w:proofErr w:type="gramStart"/>
      <w:r>
        <w:rPr>
          <w:rFonts w:ascii="Century Gothic" w:hAnsi="Century Gothic"/>
          <w:sz w:val="20"/>
          <w:szCs w:val="22"/>
        </w:rPr>
        <w:t>in itself was</w:t>
      </w:r>
      <w:proofErr w:type="gramEnd"/>
      <w:r>
        <w:rPr>
          <w:rFonts w:ascii="Century Gothic" w:hAnsi="Century Gothic"/>
          <w:sz w:val="20"/>
          <w:szCs w:val="22"/>
        </w:rPr>
        <w:t xml:space="preserve"> part of the Client's brief in bringing a retail store in a new light to the market.</w:t>
      </w:r>
      <w:r>
        <w:rPr>
          <w:rFonts w:ascii="Century Gothic" w:hAnsi="Century Gothic"/>
          <w:sz w:val="20"/>
          <w:szCs w:val="22"/>
        </w:rPr>
        <w:br/>
      </w:r>
      <w:r>
        <w:rPr>
          <w:rFonts w:ascii="Century Gothic" w:hAnsi="Century Gothic"/>
          <w:sz w:val="20"/>
          <w:szCs w:val="22"/>
        </w:rPr>
        <w:br/>
        <w:t xml:space="preserve">- The store is cleverly designed to </w:t>
      </w:r>
      <w:proofErr w:type="spellStart"/>
      <w:r>
        <w:rPr>
          <w:rFonts w:ascii="Century Gothic" w:hAnsi="Century Gothic"/>
          <w:sz w:val="20"/>
          <w:szCs w:val="22"/>
        </w:rPr>
        <w:t>maximise</w:t>
      </w:r>
      <w:proofErr w:type="spellEnd"/>
      <w:r>
        <w:rPr>
          <w:rFonts w:ascii="Century Gothic" w:hAnsi="Century Gothic"/>
          <w:sz w:val="20"/>
          <w:szCs w:val="22"/>
        </w:rPr>
        <w:t xml:space="preserve"> space and transform from an everyday retail shop by shifting the mobile display unit "building blocks". Each podium can be inserted into the walls, changing the space into an event or product launch space. All fixtures, including the P.O.S. system can be hidden. </w:t>
      </w:r>
      <w:r>
        <w:rPr>
          <w:rFonts w:ascii="Century Gothic" w:hAnsi="Century Gothic"/>
          <w:sz w:val="20"/>
          <w:szCs w:val="22"/>
        </w:rPr>
        <w:br/>
      </w:r>
      <w:r>
        <w:rPr>
          <w:rFonts w:ascii="Century Gothic" w:hAnsi="Century Gothic"/>
          <w:sz w:val="20"/>
          <w:szCs w:val="22"/>
        </w:rPr>
        <w:br/>
        <w:t xml:space="preserve">- The flexible lighting is used to create a unique shopping atmosphere. By visually "separating" the ceiling and walls with careful placement of lights, a sense of floatation is formed. This experience is on another level when customers enter the store. Similarly, during a product launch event, the strategic placing of spotted lighting along with the LED screen, ensures the launching product is the </w:t>
      </w:r>
      <w:proofErr w:type="spellStart"/>
      <w:r>
        <w:rPr>
          <w:rFonts w:ascii="Century Gothic" w:hAnsi="Century Gothic"/>
          <w:sz w:val="20"/>
          <w:szCs w:val="22"/>
        </w:rPr>
        <w:t>centre</w:t>
      </w:r>
      <w:proofErr w:type="spellEnd"/>
      <w:r>
        <w:rPr>
          <w:rFonts w:ascii="Century Gothic" w:hAnsi="Century Gothic"/>
          <w:sz w:val="20"/>
          <w:szCs w:val="22"/>
        </w:rPr>
        <w:t xml:space="preserve"> of attention. </w:t>
      </w:r>
      <w:r>
        <w:rPr>
          <w:rFonts w:ascii="Century Gothic" w:hAnsi="Century Gothic"/>
          <w:sz w:val="20"/>
          <w:szCs w:val="22"/>
        </w:rPr>
        <w:br/>
      </w:r>
    </w:p>
    <w:p w14:paraId="2E818BAD" w14:textId="77777777" w:rsidR="00C26BC3" w:rsidRDefault="00C26BC3" w:rsidP="00C26BC3"/>
    <w:p w14:paraId="3AD84397" w14:textId="77777777" w:rsidR="00C26BC3" w:rsidRDefault="00C26BC3" w:rsidP="00C26BC3">
      <w:pPr>
        <w:pStyle w:val="Heading3"/>
        <w:spacing w:before="0" w:beforeAutospacing="0" w:after="0" w:afterAutospacing="0"/>
        <w:textAlignment w:val="baseline"/>
        <w:rPr>
          <w:rStyle w:val="entrycategory"/>
          <w:rFonts w:ascii="inherit" w:eastAsia="Times New Roman" w:hAnsi="inherit" w:cs="Arial"/>
          <w:b w:val="0"/>
          <w:bCs w:val="0"/>
          <w:color w:val="009BDF"/>
          <w:sz w:val="30"/>
          <w:szCs w:val="30"/>
          <w:bdr w:val="none" w:sz="0" w:space="0" w:color="auto" w:frame="1"/>
        </w:rPr>
      </w:pPr>
    </w:p>
    <w:p w14:paraId="15A5C63C" w14:textId="77777777" w:rsidR="00C26BC3" w:rsidRDefault="00C26BC3" w:rsidP="00C26BC3">
      <w:pPr>
        <w:pStyle w:val="Heading3"/>
        <w:spacing w:before="0" w:beforeAutospacing="0" w:after="0" w:afterAutospacing="0"/>
        <w:textAlignment w:val="baseline"/>
        <w:rPr>
          <w:rFonts w:ascii="Arial" w:eastAsia="Times New Roman" w:hAnsi="Arial" w:cs="Arial"/>
          <w:b w:val="0"/>
          <w:bCs w:val="0"/>
          <w:color w:val="009BDF"/>
        </w:rPr>
      </w:pPr>
    </w:p>
    <w:p w14:paraId="13B29F20" w14:textId="77777777" w:rsidR="00C26BC3" w:rsidRDefault="00C26BC3" w:rsidP="00C26BC3">
      <w:pPr>
        <w:textAlignment w:val="baseline"/>
        <w:rPr>
          <w:rFonts w:ascii="Arial" w:eastAsia="Times New Roman" w:hAnsi="Arial" w:cs="Arial"/>
          <w:color w:val="5B6F7A"/>
          <w:sz w:val="20"/>
          <w:szCs w:val="20"/>
        </w:rPr>
      </w:pPr>
      <w:r>
        <w:rPr>
          <w:rFonts w:ascii="Arial" w:eastAsia="Times New Roman" w:hAnsi="Arial" w:cs="Arial"/>
          <w:color w:val="5B6F7A"/>
          <w:sz w:val="20"/>
          <w:szCs w:val="20"/>
        </w:rPr>
        <w:br/>
      </w:r>
      <w:r>
        <w:rPr>
          <w:rFonts w:ascii="Arial" w:eastAsia="Times New Roman" w:hAnsi="Arial" w:cs="Arial"/>
          <w:color w:val="5B6F7A"/>
          <w:sz w:val="20"/>
          <w:szCs w:val="20"/>
        </w:rPr>
        <w:br/>
      </w:r>
    </w:p>
    <w:p w14:paraId="468F525C"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31827152" wp14:editId="744222EA">
            <wp:extent cx="5711190" cy="3810000"/>
            <wp:effectExtent l="0" t="0" r="3810" b="0"/>
            <wp:docPr id="9" name="Picture 9" descr="https://d39lxsrz40jt15.cloudfront.net/downloads/EDG2012/o_1bjpmoemc15519k11uu1h681bd77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39lxsrz40jt15.cloudfront.net/downloads/EDG2012/o_1bjpmoemc15519k11uu1h681bd77_w600_h0.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11190" cy="3810000"/>
                    </a:xfrm>
                    <a:prstGeom prst="rect">
                      <a:avLst/>
                    </a:prstGeom>
                    <a:noFill/>
                    <a:ln>
                      <a:noFill/>
                    </a:ln>
                  </pic:spPr>
                </pic:pic>
              </a:graphicData>
            </a:graphic>
          </wp:inline>
        </w:drawing>
      </w:r>
    </w:p>
    <w:p w14:paraId="0357750F"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284259D4" wp14:editId="147CE65F">
            <wp:extent cx="5711190" cy="3810000"/>
            <wp:effectExtent l="0" t="0" r="3810" b="0"/>
            <wp:docPr id="8" name="Picture 8" descr="https://d39lxsrz40jt15.cloudfront.net/downloads/EDG2012/o_1bjpmot151f921jvjhn91f7l194qc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39lxsrz40jt15.cloudfront.net/downloads/EDG2012/o_1bjpmot151f921jvjhn91f7l194qc_w600_h0.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11190" cy="3810000"/>
                    </a:xfrm>
                    <a:prstGeom prst="rect">
                      <a:avLst/>
                    </a:prstGeom>
                    <a:noFill/>
                    <a:ln>
                      <a:noFill/>
                    </a:ln>
                  </pic:spPr>
                </pic:pic>
              </a:graphicData>
            </a:graphic>
          </wp:inline>
        </w:drawing>
      </w:r>
    </w:p>
    <w:p w14:paraId="4D326790"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169E8183" wp14:editId="59DB3E81">
            <wp:extent cx="5711190" cy="3810000"/>
            <wp:effectExtent l="0" t="0" r="3810" b="0"/>
            <wp:docPr id="7" name="Picture 7" descr="https://d39lxsrz40jt15.cloudfront.net/downloads/EDG2012/o_1bjpmp9p91s6j16qv10571uh1r1qh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39lxsrz40jt15.cloudfront.net/downloads/EDG2012/o_1bjpmp9p91s6j16qv10571uh1r1qh_w600_h0.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1190" cy="3810000"/>
                    </a:xfrm>
                    <a:prstGeom prst="rect">
                      <a:avLst/>
                    </a:prstGeom>
                    <a:noFill/>
                    <a:ln>
                      <a:noFill/>
                    </a:ln>
                  </pic:spPr>
                </pic:pic>
              </a:graphicData>
            </a:graphic>
          </wp:inline>
        </w:drawing>
      </w:r>
    </w:p>
    <w:p w14:paraId="21BBD21C"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4AF9B261" wp14:editId="683D1312">
            <wp:extent cx="5711190" cy="3224530"/>
            <wp:effectExtent l="0" t="0" r="3810" b="1270"/>
            <wp:docPr id="6" name="Picture 6" descr="https://d39lxsrz40jt15.cloudfront.net/downloads/EDG2012/o_1bjpmqr1h12g41d451b61fbj1d0mr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39lxsrz40jt15.cloudfront.net/downloads/EDG2012/o_1bjpmqr1h12g41d451b61fbj1d0mr_w600_h0.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1190" cy="3224530"/>
                    </a:xfrm>
                    <a:prstGeom prst="rect">
                      <a:avLst/>
                    </a:prstGeom>
                    <a:noFill/>
                    <a:ln>
                      <a:noFill/>
                    </a:ln>
                  </pic:spPr>
                </pic:pic>
              </a:graphicData>
            </a:graphic>
          </wp:inline>
        </w:drawing>
      </w:r>
    </w:p>
    <w:p w14:paraId="3D784AFF"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0A117F98" wp14:editId="5C58ACD4">
            <wp:extent cx="5711190" cy="3810000"/>
            <wp:effectExtent l="0" t="0" r="3810" b="0"/>
            <wp:docPr id="5" name="Picture 5" descr="https://d39lxsrz40jt15.cloudfront.net/downloads/EDG2012/o_1bjpmrid76f81log1mb2a90loq15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39lxsrz40jt15.cloudfront.net/downloads/EDG2012/o_1bjpmrid76f81log1mb2a90loq15_w600_h0.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1190" cy="3810000"/>
                    </a:xfrm>
                    <a:prstGeom prst="rect">
                      <a:avLst/>
                    </a:prstGeom>
                    <a:noFill/>
                    <a:ln>
                      <a:noFill/>
                    </a:ln>
                  </pic:spPr>
                </pic:pic>
              </a:graphicData>
            </a:graphic>
          </wp:inline>
        </w:drawing>
      </w:r>
    </w:p>
    <w:p w14:paraId="4AE1F5C6"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50EB2D36" wp14:editId="6932558B">
            <wp:extent cx="5711190" cy="3810000"/>
            <wp:effectExtent l="0" t="0" r="3810" b="0"/>
            <wp:docPr id="4" name="Picture 4" descr="https://d39lxsrz40jt15.cloudfront.net/downloads/EDG2012/o_1bjpmslkj1e29ct7cudfhn16fs1a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39lxsrz40jt15.cloudfront.net/downloads/EDG2012/o_1bjpmslkj1e29ct7cudfhn16fs1a_w600_h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1190" cy="3810000"/>
                    </a:xfrm>
                    <a:prstGeom prst="rect">
                      <a:avLst/>
                    </a:prstGeom>
                    <a:noFill/>
                    <a:ln>
                      <a:noFill/>
                    </a:ln>
                  </pic:spPr>
                </pic:pic>
              </a:graphicData>
            </a:graphic>
          </wp:inline>
        </w:drawing>
      </w:r>
    </w:p>
    <w:p w14:paraId="599E7E4D"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4B08A909" wp14:editId="26499B8F">
            <wp:extent cx="5711190" cy="3810000"/>
            <wp:effectExtent l="0" t="0" r="3810" b="0"/>
            <wp:docPr id="3" name="Picture 3" descr="https://d39lxsrz40jt15.cloudfront.net/downloads/EDG2012/o_1bjpmt12r19901qvl1mp41s3811t11f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39lxsrz40jt15.cloudfront.net/downloads/EDG2012/o_1bjpmt12r19901qvl1mp41s3811t11f_w600_h0.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1190" cy="3810000"/>
                    </a:xfrm>
                    <a:prstGeom prst="rect">
                      <a:avLst/>
                    </a:prstGeom>
                    <a:noFill/>
                    <a:ln>
                      <a:noFill/>
                    </a:ln>
                  </pic:spPr>
                </pic:pic>
              </a:graphicData>
            </a:graphic>
          </wp:inline>
        </w:drawing>
      </w:r>
    </w:p>
    <w:p w14:paraId="306033DA"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70E175E4" wp14:editId="1474ADD5">
            <wp:extent cx="5711190" cy="3810000"/>
            <wp:effectExtent l="0" t="0" r="3810" b="0"/>
            <wp:docPr id="2" name="Picture 2" descr="https://d39lxsrz40jt15.cloudfront.net/downloads/EDG2012/o_1bjpmt948d4n4dqge382b1aq81k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39lxsrz40jt15.cloudfront.net/downloads/EDG2012/o_1bjpmt948d4n4dqge382b1aq81k_w600_h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1190" cy="3810000"/>
                    </a:xfrm>
                    <a:prstGeom prst="rect">
                      <a:avLst/>
                    </a:prstGeom>
                    <a:noFill/>
                    <a:ln>
                      <a:noFill/>
                    </a:ln>
                  </pic:spPr>
                </pic:pic>
              </a:graphicData>
            </a:graphic>
          </wp:inline>
        </w:drawing>
      </w:r>
    </w:p>
    <w:p w14:paraId="75B210E7" w14:textId="77777777" w:rsidR="00C26BC3" w:rsidRDefault="00C26BC3" w:rsidP="00C26BC3">
      <w:pPr>
        <w:pStyle w:val="NormalWeb"/>
        <w:spacing w:before="0" w:beforeAutospacing="0" w:after="225" w:afterAutospacing="0"/>
        <w:textAlignment w:val="baseline"/>
        <w:rPr>
          <w:rFonts w:ascii="Arial" w:hAnsi="Arial" w:cs="Arial"/>
          <w:color w:val="5B6F7A"/>
          <w:sz w:val="20"/>
          <w:szCs w:val="20"/>
        </w:rPr>
      </w:pPr>
      <w:r>
        <w:rPr>
          <w:rFonts w:ascii="Arial" w:hAnsi="Arial" w:cs="Arial"/>
          <w:noProof/>
          <w:color w:val="5B6F7A"/>
          <w:sz w:val="20"/>
          <w:szCs w:val="20"/>
          <w:lang w:val="en-GB" w:eastAsia="en-GB"/>
        </w:rPr>
        <w:drawing>
          <wp:inline distT="0" distB="0" distL="0" distR="0" wp14:anchorId="5B3D7D8C" wp14:editId="61065466">
            <wp:extent cx="5711190" cy="4227195"/>
            <wp:effectExtent l="0" t="0" r="3810" b="0"/>
            <wp:docPr id="1" name="Picture 1" descr="https://d39lxsrz40jt15.cloudfront.net/downloads/EDG2012/o_1bjpmtf46dp4g781h3k1vfa3371p_w600_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39lxsrz40jt15.cloudfront.net/downloads/EDG2012/o_1bjpmtf46dp4g781h3k1vfa3371p_w600_h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1190" cy="4227195"/>
                    </a:xfrm>
                    <a:prstGeom prst="rect">
                      <a:avLst/>
                    </a:prstGeom>
                    <a:noFill/>
                    <a:ln>
                      <a:noFill/>
                    </a:ln>
                  </pic:spPr>
                </pic:pic>
              </a:graphicData>
            </a:graphic>
          </wp:inline>
        </w:drawing>
      </w:r>
    </w:p>
    <w:p w14:paraId="4B3F5E89" w14:textId="77777777" w:rsidR="00C26BC3" w:rsidRDefault="00C26BC3" w:rsidP="00C26BC3">
      <w:pPr>
        <w:pStyle w:val="NormalWeb"/>
        <w:spacing w:before="0" w:beforeAutospacing="0" w:after="0" w:afterAutospacing="0"/>
        <w:textAlignment w:val="baseline"/>
        <w:rPr>
          <w:rFonts w:ascii="Arial" w:hAnsi="Arial" w:cs="Arial"/>
          <w:color w:val="5B6F7A"/>
          <w:sz w:val="20"/>
          <w:szCs w:val="20"/>
        </w:rPr>
      </w:pPr>
      <w:r>
        <w:rPr>
          <w:rFonts w:ascii="Arial" w:hAnsi="Arial" w:cs="Arial"/>
          <w:color w:val="5B6F7A"/>
          <w:sz w:val="20"/>
          <w:szCs w:val="20"/>
        </w:rPr>
        <w:t> </w:t>
      </w:r>
      <w:r>
        <w:rPr>
          <w:rFonts w:ascii="Arial" w:hAnsi="Arial" w:cs="Arial"/>
          <w:color w:val="5B6F7A"/>
          <w:sz w:val="20"/>
          <w:szCs w:val="20"/>
        </w:rPr>
        <w:br/>
      </w:r>
      <w:r>
        <w:rPr>
          <w:rStyle w:val="Strong"/>
          <w:rFonts w:ascii="inherit" w:hAnsi="inherit" w:cs="Arial"/>
          <w:color w:val="5B6F7A"/>
          <w:bdr w:val="none" w:sz="0" w:space="0" w:color="auto" w:frame="1"/>
        </w:rPr>
        <w:t xml:space="preserve">Photo </w:t>
      </w:r>
      <w:proofErr w:type="gramStart"/>
      <w:r>
        <w:rPr>
          <w:rStyle w:val="Strong"/>
          <w:rFonts w:ascii="inherit" w:hAnsi="inherit" w:cs="Arial"/>
          <w:color w:val="5B6F7A"/>
          <w:bdr w:val="none" w:sz="0" w:space="0" w:color="auto" w:frame="1"/>
        </w:rPr>
        <w:t>Credit</w:t>
      </w:r>
      <w:r>
        <w:rPr>
          <w:rFonts w:ascii="Arial" w:hAnsi="Arial" w:cs="Arial"/>
          <w:color w:val="5B6F7A"/>
          <w:sz w:val="20"/>
          <w:szCs w:val="20"/>
        </w:rPr>
        <w:t> :</w:t>
      </w:r>
      <w:proofErr w:type="gramEnd"/>
      <w:r>
        <w:rPr>
          <w:rFonts w:ascii="Arial" w:hAnsi="Arial" w:cs="Arial"/>
          <w:color w:val="5B6F7A"/>
          <w:sz w:val="20"/>
          <w:szCs w:val="20"/>
        </w:rPr>
        <w:t xml:space="preserve"> New Balance Global Retail Division</w:t>
      </w:r>
    </w:p>
    <w:p w14:paraId="591A87E8" w14:textId="77777777" w:rsidR="00C26BC3" w:rsidRDefault="00C26BC3" w:rsidP="00C26BC3"/>
    <w:p w14:paraId="69DCBCD3" w14:textId="77777777" w:rsidR="008E1CB3" w:rsidRDefault="0091716C"/>
    <w:sectPr w:rsidR="008E1CB3" w:rsidSect="001D39D1">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 w:name="Century Gothic">
    <w:panose1 w:val="020B0502020202020204"/>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9"/>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BC3"/>
    <w:rsid w:val="000C5742"/>
    <w:rsid w:val="004719A1"/>
    <w:rsid w:val="0091716C"/>
    <w:rsid w:val="00C26BC3"/>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2C2C7A4A"/>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26BC3"/>
    <w:rPr>
      <w:lang w:val="en-US"/>
    </w:rPr>
  </w:style>
  <w:style w:type="paragraph" w:styleId="Heading1">
    <w:name w:val="heading 1"/>
    <w:basedOn w:val="Normal"/>
    <w:link w:val="Heading1Char"/>
    <w:uiPriority w:val="9"/>
    <w:qFormat/>
    <w:rsid w:val="00C26BC3"/>
    <w:pPr>
      <w:spacing w:before="100" w:beforeAutospacing="1" w:after="100" w:afterAutospacing="1"/>
      <w:outlineLvl w:val="0"/>
    </w:pPr>
    <w:rPr>
      <w:rFonts w:ascii="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C26BC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26BC3"/>
    <w:pPr>
      <w:spacing w:before="100" w:beforeAutospacing="1" w:after="100" w:afterAutospacing="1"/>
      <w:outlineLvl w:val="2"/>
    </w:pPr>
    <w:rPr>
      <w:rFonts w:ascii="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26BC3"/>
    <w:rPr>
      <w:rFonts w:ascii="Times New Roman" w:hAnsi="Times New Roman" w:cs="Times New Roman"/>
      <w:b/>
      <w:bCs/>
      <w:kern w:val="36"/>
      <w:sz w:val="48"/>
      <w:szCs w:val="48"/>
      <w:lang w:val="en-US"/>
    </w:rPr>
  </w:style>
  <w:style w:type="character" w:customStyle="1" w:styleId="Heading2Char">
    <w:name w:val="Heading 2 Char"/>
    <w:basedOn w:val="DefaultParagraphFont"/>
    <w:link w:val="Heading2"/>
    <w:uiPriority w:val="9"/>
    <w:semiHidden/>
    <w:rsid w:val="00C26BC3"/>
    <w:rPr>
      <w:rFonts w:asciiTheme="majorHAnsi" w:eastAsiaTheme="majorEastAsia" w:hAnsiTheme="majorHAnsi" w:cstheme="majorBidi"/>
      <w:color w:val="2F5496" w:themeColor="accent1" w:themeShade="BF"/>
      <w:sz w:val="26"/>
      <w:szCs w:val="26"/>
      <w:lang w:val="en-US"/>
    </w:rPr>
  </w:style>
  <w:style w:type="character" w:customStyle="1" w:styleId="Heading3Char">
    <w:name w:val="Heading 3 Char"/>
    <w:basedOn w:val="DefaultParagraphFont"/>
    <w:link w:val="Heading3"/>
    <w:uiPriority w:val="9"/>
    <w:rsid w:val="00C26BC3"/>
    <w:rPr>
      <w:rFonts w:ascii="Times New Roman" w:hAnsi="Times New Roman" w:cs="Times New Roman"/>
      <w:b/>
      <w:bCs/>
      <w:sz w:val="27"/>
      <w:szCs w:val="27"/>
      <w:lang w:val="en-US"/>
    </w:rPr>
  </w:style>
  <w:style w:type="character" w:styleId="Hyperlink">
    <w:name w:val="Hyperlink"/>
    <w:basedOn w:val="DefaultParagraphFont"/>
    <w:uiPriority w:val="99"/>
    <w:unhideWhenUsed/>
    <w:rsid w:val="00C26BC3"/>
    <w:rPr>
      <w:color w:val="0563C1" w:themeColor="hyperlink"/>
      <w:u w:val="single"/>
    </w:rPr>
  </w:style>
  <w:style w:type="character" w:customStyle="1" w:styleId="entrycategory">
    <w:name w:val="entrycategory"/>
    <w:basedOn w:val="DefaultParagraphFont"/>
    <w:rsid w:val="00C26BC3"/>
  </w:style>
  <w:style w:type="paragraph" w:styleId="NormalWeb">
    <w:name w:val="Normal (Web)"/>
    <w:basedOn w:val="Normal"/>
    <w:uiPriority w:val="99"/>
    <w:semiHidden/>
    <w:unhideWhenUsed/>
    <w:rsid w:val="00C26BC3"/>
    <w:pPr>
      <w:spacing w:before="100" w:beforeAutospacing="1" w:after="100" w:afterAutospacing="1"/>
    </w:pPr>
    <w:rPr>
      <w:rFonts w:ascii="Times New Roman" w:hAnsi="Times New Roman" w:cs="Times New Roman"/>
    </w:rPr>
  </w:style>
  <w:style w:type="character" w:styleId="Strong">
    <w:name w:val="Strong"/>
    <w:basedOn w:val="DefaultParagraphFont"/>
    <w:uiPriority w:val="22"/>
    <w:qFormat/>
    <w:rsid w:val="00C26BC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30348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7</Pages>
  <Words>666</Words>
  <Characters>3801</Characters>
  <Application>Microsoft Macintosh Word</Application>
  <DocSecurity>0</DocSecurity>
  <Lines>31</Lines>
  <Paragraphs>8</Paragraphs>
  <ScaleCrop>false</ScaleCrop>
  <HeadingPairs>
    <vt:vector size="4" baseType="variant">
      <vt:variant>
        <vt:lpstr>Title</vt:lpstr>
      </vt:variant>
      <vt:variant>
        <vt:i4>1</vt:i4>
      </vt:variant>
      <vt:variant>
        <vt:lpstr>Headings</vt:lpstr>
      </vt:variant>
      <vt:variant>
        <vt:i4>3</vt:i4>
      </vt:variant>
    </vt:vector>
  </HeadingPairs>
  <TitlesOfParts>
    <vt:vector size="4" baseType="lpstr">
      <vt:lpstr/>
      <vt:lpstr>NEW BALANCE ROPPONGI, TOKYO- LIFESTYLE STORE OF THE FUTURE</vt:lpstr>
      <vt:lpstr>        </vt:lpstr>
      <vt:lpstr>        </vt:lpstr>
    </vt:vector>
  </TitlesOfParts>
  <LinksUpToDate>false</LinksUpToDate>
  <CharactersWithSpaces>4459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Ou</dc:creator>
  <cp:keywords/>
  <dc:description/>
  <cp:lastModifiedBy>Michelle Ou</cp:lastModifiedBy>
  <cp:revision>1</cp:revision>
  <dcterms:created xsi:type="dcterms:W3CDTF">2017-09-29T08:20:00Z</dcterms:created>
  <dcterms:modified xsi:type="dcterms:W3CDTF">2017-09-29T09:59:00Z</dcterms:modified>
</cp:coreProperties>
</file>